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AC338A">
      <w:r w:rsidRPr="00AC338A">
        <w:t xml:space="preserve">Слева направо </w:t>
      </w:r>
      <w:proofErr w:type="gramStart"/>
      <w:r w:rsidRPr="00AC338A">
        <w:t>–С</w:t>
      </w:r>
      <w:proofErr w:type="gramEnd"/>
      <w:r w:rsidRPr="00AC338A">
        <w:t xml:space="preserve">ергей Синицын, Ольга </w:t>
      </w:r>
      <w:proofErr w:type="spellStart"/>
      <w:r w:rsidRPr="00AC338A">
        <w:t>Червова</w:t>
      </w:r>
      <w:proofErr w:type="spellEnd"/>
      <w:r w:rsidRPr="00AC338A">
        <w:t>,  Денис Казанцев, Нина Рогова (спектакль «Волшебное кольцо»: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77"/>
    <w:rsid w:val="00592B77"/>
    <w:rsid w:val="00974068"/>
    <w:rsid w:val="00AC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2019-03-04T10:15:00Z</dcterms:created>
  <dcterms:modified xsi:type="dcterms:W3CDTF">2019-03-04T10:15:00Z</dcterms:modified>
</cp:coreProperties>
</file>